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</w:r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наличии оборудованных объектов спорта: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В школе имеется спортивный зал площадью 279,1 кв.м., спортивная площадка, площадка для волейбола, площадка для игр, лыжная база.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В спортивном зале имеются гимнастические маты, шведская стенка, сетка волейбольная, мячи, кегли, обручи, ракетки и воланы для бадминтона, лыжи, гимнастические скамейки, скакалки, обручи, канат, баскетбольные щиты, козел гимнастический.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Площадка для игр на территории Школы оборудована полосой препятствий: металлические шесты, две лестницы, четыре дуги для </w:t>
      </w:r>
      <w:r>
        <w:rPr>
          <w:rFonts w:ascii="Times New Roman" w:hAnsi="Times New Roman"/>
          <w:color w:val="auto"/>
          <w:sz w:val="24"/>
        </w:rPr>
        <w:t xml:space="preserve">подлезания</w:t>
      </w:r>
      <w:r>
        <w:rPr>
          <w:rFonts w:ascii="Times New Roman" w:hAnsi="Times New Roman"/>
          <w:color w:val="auto"/>
          <w:sz w:val="24"/>
        </w:rPr>
        <w:t xml:space="preserve">, лабиринт. Для дошкольных групп </w:t>
      </w:r>
      <w:r>
        <w:rPr>
          <w:rFonts w:ascii="Times New Roman" w:hAnsi="Times New Roman"/>
          <w:color w:val="auto"/>
          <w:sz w:val="24"/>
        </w:rPr>
        <w:t xml:space="preserve">оснащены</w:t>
      </w:r>
      <w:r>
        <w:rPr>
          <w:rFonts w:ascii="Times New Roman" w:hAnsi="Times New Roman"/>
          <w:color w:val="auto"/>
          <w:sz w:val="24"/>
        </w:rPr>
        <w:t xml:space="preserve"> 5 игровых площадок сертифицированным спортивно-игровым оборудованием.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Объекты спорта приспособленные для инвалидов и лиц с ограниченными возможностями здоровья, отсутствуют.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2024-06-19T07:35:11Z</dcterms:modified>
</cp:coreProperties>
</file>